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Date of Report (Date of earliest event reported): </w:t>
      </w:r>
      <w:r>
        <w:rPr>
          <w:rFonts w:ascii="Times New Roman" w:cs="Times New Roman" w:eastAsia="Times New Roman" w:hAnsi="Times New Roman"/>
          <w:sz w:val="17"/>
          <w:szCs w:val="17"/>
          <w:b w:val="1"/>
          <w:bCs w:val="1"/>
          <w:color w:val="auto"/>
        </w:rPr>
        <w:t>June 9, 2026</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Orchid Island Capital,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240"/>
          </w:cols>
          <w:pgMar w:left="320" w:top="873" w:right="339" w:bottom="1440" w:gutter="0" w:footer="0" w:header="0"/>
        </w:sectPr>
      </w:pPr>
    </w:p>
    <w:p>
      <w:pPr>
        <w:spacing w:after="0" w:line="20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001-35236</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27-3269228</w:t>
      </w:r>
    </w:p>
    <w:p>
      <w:pPr>
        <w:spacing w:after="0" w:line="31"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840" w:space="720"/>
            <w:col w:w="2800" w:space="720"/>
            <w:col w:w="3160"/>
          </w:cols>
          <w:pgMar w:left="320" w:top="873" w:right="339" w:bottom="1440" w:gutter="0" w:footer="0" w:header="0"/>
          <w:type w:val="continuous"/>
        </w:sectPr>
      </w:pPr>
    </w:p>
    <w:p>
      <w:pPr>
        <w:spacing w:after="0" w:line="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3305 Flamingo Drive, Vero Beach, Florida 32963</w:t>
      </w:r>
    </w:p>
    <w:p>
      <w:pPr>
        <w:spacing w:after="0" w:line="31"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873"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(772) 231-1400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00" w:firstLine="8"/>
        <w:spacing w:after="0" w:line="509" w:lineRule="auto"/>
        <w:tabs>
          <w:tab w:leader="none" w:pos="48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1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193"/>
        </w:trPr>
        <w:tc>
          <w:tcPr>
            <w:tcW w:w="4160" w:type="dxa"/>
            <w:vAlign w:val="bottom"/>
            <w:tcBorders>
              <w:left w:val="single" w:sz="8" w:color="auto"/>
              <w:bottom w:val="single" w:sz="8" w:color="auto"/>
              <w:right w:val="single" w:sz="8" w:color="auto"/>
            </w:tcBorders>
          </w:tcPr>
          <w:p>
            <w:pPr>
              <w:ind w:left="580"/>
              <w:spacing w:after="0" w:line="193" w:lineRule="exact"/>
              <w:rPr>
                <w:sz w:val="20"/>
                <w:szCs w:val="20"/>
                <w:color w:val="auto"/>
              </w:rPr>
            </w:pPr>
            <w:r>
              <w:rPr>
                <w:rFonts w:ascii="Times New Roman" w:cs="Times New Roman" w:eastAsia="Times New Roman" w:hAnsi="Times New Roman"/>
                <w:sz w:val="18"/>
                <w:szCs w:val="18"/>
                <w:color w:val="auto"/>
              </w:rPr>
              <w:t>Common Stock, par value $0.01 per share</w:t>
            </w:r>
          </w:p>
        </w:tc>
        <w:tc>
          <w:tcPr>
            <w:tcW w:w="2760" w:type="dxa"/>
            <w:vAlign w:val="bottom"/>
            <w:tcBorders>
              <w:bottom w:val="single" w:sz="8" w:color="auto"/>
              <w:right w:val="single" w:sz="8" w:color="auto"/>
            </w:tcBorders>
          </w:tcPr>
          <w:p>
            <w:pPr>
              <w:ind w:left="1200"/>
              <w:spacing w:after="0" w:line="193" w:lineRule="exact"/>
              <w:rPr>
                <w:sz w:val="20"/>
                <w:szCs w:val="20"/>
                <w:color w:val="auto"/>
              </w:rPr>
            </w:pPr>
            <w:r>
              <w:rPr>
                <w:rFonts w:ascii="Times New Roman" w:cs="Times New Roman" w:eastAsia="Times New Roman" w:hAnsi="Times New Roman"/>
                <w:sz w:val="18"/>
                <w:szCs w:val="18"/>
                <w:color w:val="auto"/>
              </w:rPr>
              <w:t>ORC</w:t>
            </w:r>
          </w:p>
        </w:tc>
        <w:tc>
          <w:tcPr>
            <w:tcW w:w="4320" w:type="dxa"/>
            <w:vAlign w:val="bottom"/>
            <w:tcBorders>
              <w:bottom w:val="single" w:sz="8" w:color="auto"/>
              <w:right w:val="single" w:sz="8" w:color="auto"/>
            </w:tcBorders>
          </w:tcPr>
          <w:p>
            <w:pPr>
              <w:ind w:left="1920"/>
              <w:spacing w:after="0" w:line="193" w:lineRule="exact"/>
              <w:rPr>
                <w:sz w:val="20"/>
                <w:szCs w:val="20"/>
                <w:color w:val="auto"/>
              </w:rPr>
            </w:pPr>
            <w:r>
              <w:rPr>
                <w:rFonts w:ascii="Times New Roman" w:cs="Times New Roman" w:eastAsia="Times New Roman" w:hAnsi="Times New Roman"/>
                <w:sz w:val="18"/>
                <w:szCs w:val="18"/>
                <w:color w:val="auto"/>
              </w:rPr>
              <w:t>NYSE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p>
      <w:pPr>
        <w:ind w:left="1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160" w:firstLine="324"/>
        <w:spacing w:after="0" w:line="255" w:lineRule="auto"/>
        <w:rPr>
          <w:sz w:val="20"/>
          <w:szCs w:val="20"/>
          <w:color w:val="auto"/>
        </w:rPr>
      </w:pPr>
      <w:r>
        <w:rPr>
          <w:rFonts w:ascii="Times New Roman" w:cs="Times New Roman" w:eastAsia="Times New Roman" w:hAnsi="Times New Roman"/>
          <w:sz w:val="18"/>
          <w:szCs w:val="18"/>
          <w:color w:val="auto"/>
        </w:rPr>
        <w:t>At the 2026 Annual Meeting of Stockholders (the “Annual Meeting”) of Orchid Island Capital, Inc. (the “Company”), the Company’s stockholders voted on the following matters: (i) the election of the six nominated directors to the Company’s board of directors (the “Board”), (ii) the ratification of the appointment of BDO USA, P.C. as the Company’s independent registered public accounting firm for the year ending December 31, 2026, (iii) the approval, on an advisory basis, of the compensation of the Company’s named executive officers and (iv) the recommendation, on an advisory basis, of the frequency of future advisory votes on the compensation of the Company's named executive officers. As of April 9, 2026, the record date for the Annual Meeting, there were 199,700,226 shares of the Company’s common stock, par value $0.01 per share (“Common Stock”) outstanding and entitled to vote.</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full results of the matters voted on at the Annual Meeting are set forth below:</w:t>
      </w:r>
    </w:p>
    <w:p>
      <w:pPr>
        <w:spacing w:after="0" w:line="225" w:lineRule="exact"/>
        <w:rPr>
          <w:sz w:val="20"/>
          <w:szCs w:val="20"/>
          <w:color w:val="auto"/>
        </w:rPr>
      </w:pPr>
    </w:p>
    <w:p>
      <w:pPr>
        <w:ind w:left="160" w:right="400"/>
        <w:spacing w:after="0" w:line="266" w:lineRule="auto"/>
        <w:rPr>
          <w:sz w:val="20"/>
          <w:szCs w:val="20"/>
          <w:color w:val="auto"/>
        </w:rPr>
      </w:pPr>
      <w:r>
        <w:rPr>
          <w:rFonts w:ascii="Times New Roman" w:cs="Times New Roman" w:eastAsia="Times New Roman" w:hAnsi="Times New Roman"/>
          <w:sz w:val="18"/>
          <w:szCs w:val="18"/>
          <w:color w:val="auto"/>
        </w:rPr>
        <w:t>Proposal 1—Election of Directors. The following nominees were elected to our Board to serve until the next annual meeting of the Company’s stockholders or until his or her successor is elected and qualified: Robert E. Cauley, George H. Haas, IV, W Coleman Bitting, Frank P. Filipps, Paula Morabito and Ava L. Parker.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Nominee for Director</w:t>
            </w:r>
          </w:p>
        </w:tc>
        <w:tc>
          <w:tcPr>
            <w:tcW w:w="3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4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Votes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E. Cauley</w:t>
            </w:r>
          </w:p>
        </w:tc>
        <w:tc>
          <w:tcPr>
            <w:tcW w:w="3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64,347,162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3,500,798</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836,761</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61,745,081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George H. Haas, IV</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56,464,468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11,378,588</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841,665</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61,745,081</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Coleman Bitting</w:t>
            </w:r>
          </w:p>
        </w:tc>
        <w:tc>
          <w:tcPr>
            <w:tcW w:w="3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62,764,466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5,081,547</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838,708</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61,745,081</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Frank P. Filipps</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62,324,898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5,537,467</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822,356</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61,745,081</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Paula Morabito</w:t>
            </w:r>
          </w:p>
        </w:tc>
        <w:tc>
          <w:tcPr>
            <w:tcW w:w="3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63,355,225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4,514,128</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815,368</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61,745,081</w:t>
            </w: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Ava L. Parker</w:t>
            </w:r>
          </w:p>
        </w:tc>
        <w:tc>
          <w:tcPr>
            <w:tcW w:w="33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61,525,593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6,346,437</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812,691</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61,745,081</w:t>
            </w:r>
          </w:p>
        </w:tc>
      </w:tr>
    </w:tbl>
    <w:p>
      <w:pPr>
        <w:spacing w:after="0" w:line="17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Proposal 2—Ratification of Appointment of Independent Registered Public Accounting Firm. This proposal was ratified upon the following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6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0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8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121,803,409</w:t>
            </w:r>
          </w:p>
        </w:tc>
        <w:tc>
          <w:tcPr>
            <w:tcW w:w="28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6,850,503</w:t>
            </w:r>
          </w:p>
        </w:tc>
        <w:tc>
          <w:tcPr>
            <w:tcW w:w="27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1,775,890</w:t>
            </w:r>
          </w:p>
        </w:tc>
        <w:tc>
          <w:tcPr>
            <w:tcW w:w="3040" w:type="dxa"/>
            <w:vAlign w:val="bottom"/>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Proposal 3—Advisory Vote on Named Executive Officer Compensation. This advisory vote was approved upon the following vote.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80" w:type="dxa"/>
            <w:vAlign w:val="bottom"/>
          </w:tcPr>
          <w:p>
            <w:pPr>
              <w:jc w:val="right"/>
              <w:ind w:right="117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0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61,130,974</w:t>
            </w:r>
          </w:p>
        </w:tc>
        <w:tc>
          <w:tcPr>
            <w:tcW w:w="28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6,179,179</w:t>
            </w:r>
          </w:p>
        </w:tc>
        <w:tc>
          <w:tcPr>
            <w:tcW w:w="276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1,374,568</w:t>
            </w:r>
          </w:p>
        </w:tc>
        <w:tc>
          <w:tcPr>
            <w:tcW w:w="3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61,745,081</w:t>
            </w:r>
          </w:p>
        </w:tc>
      </w:tr>
    </w:tbl>
    <w:p>
      <w:pPr>
        <w:spacing w:after="0" w:line="198"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Proposal 4—Advisory Vote on the Frequency of Future Advisory Votes on Named Executive Officer Compensation. The stockholders recommended, on an advisory basis, that future votes on named executive officer compensation be conducted every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86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 Years</w:t>
            </w:r>
          </w:p>
        </w:tc>
        <w:tc>
          <w:tcPr>
            <w:tcW w:w="296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2860" w:type="dxa"/>
            <w:vAlign w:val="bottom"/>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6"/>
        </w:trPr>
        <w:tc>
          <w:tcPr>
            <w:tcW w:w="25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64,123,663</w:t>
            </w:r>
          </w:p>
        </w:tc>
        <w:tc>
          <w:tcPr>
            <w:tcW w:w="286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933,219</w:t>
            </w:r>
          </w:p>
        </w:tc>
        <w:tc>
          <w:tcPr>
            <w:tcW w:w="29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2,096,040</w:t>
            </w:r>
          </w:p>
        </w:tc>
        <w:tc>
          <w:tcPr>
            <w:tcW w:w="286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1,531,799</w:t>
            </w:r>
          </w:p>
        </w:tc>
      </w:tr>
    </w:tbl>
    <w:p>
      <w:pPr>
        <w:spacing w:after="0" w:line="198" w:lineRule="exact"/>
        <w:rPr>
          <w:sz w:val="20"/>
          <w:szCs w:val="20"/>
          <w:color w:val="auto"/>
        </w:rPr>
      </w:pPr>
    </w:p>
    <w:p>
      <w:pPr>
        <w:ind w:left="160" w:right="100"/>
        <w:spacing w:after="0" w:line="282" w:lineRule="auto"/>
        <w:rPr>
          <w:sz w:val="20"/>
          <w:szCs w:val="20"/>
          <w:color w:val="auto"/>
        </w:rPr>
      </w:pPr>
      <w:r>
        <w:rPr>
          <w:rFonts w:ascii="Times New Roman" w:cs="Times New Roman" w:eastAsia="Times New Roman" w:hAnsi="Times New Roman"/>
          <w:sz w:val="18"/>
          <w:szCs w:val="18"/>
          <w:color w:val="auto"/>
        </w:rPr>
        <w:t>In view of these voting recommendations, the Board has determined that an advisory vote on named executive officer compensation will be submitted to stockholders every year until the next required advisory vote on the frequency of future advisory votes on named executive officer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9, 2026, the Company announced that the Board declared a dividend for the month of June 2026 of $0.10 per share of the Common Stock, to be paid on July 30, 2026 to holders of record on June 30, 2026, with an ex-dividend date of June 30, 2026. In addition, the Company announced certain details of its RMBS portfolio as of May 31, 2026, as well as certain other information regarding the Company. A copy of the Company’s press release announcing the dividend and the other information regarding the Company is attached hereto as Exhibit 99.1 and incorporated herein by this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 About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and other federal securities laws, including, but not limited to, statements about the Company’s distributions. These forward-looking statements are based upon the Company’s present expectations, but the Company cannot assure investors that actual results will not vary from the expectations contained in the forward-looking statements. Investors should not place undue reliance upon forward looking statements. For further discussion of the factors that could affect outcomes, please refer to the “Risk Factors” section of the Company's Annual Report on Form 10-K for the fiscal year ended December 31, 2025. All forward-looking statements speak only as of the date on which they are made. New risks and uncertainties arise over time, and it is not possible to predict those events or how they may affect the Company. Except as required by law, the Company is not obligated to, and does not intend to, update or revise any forward-looking statements, whether as a result of new information, future events or otherwise.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432"/>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260" w:type="dxa"/>
            <w:vAlign w:val="bottom"/>
          </w:tcPr>
          <w:p>
            <w:pPr>
              <w:spacing w:after="0"/>
              <w:rPr>
                <w:sz w:val="24"/>
                <w:szCs w:val="24"/>
                <w:color w:val="auto"/>
              </w:rPr>
            </w:pPr>
          </w:p>
        </w:tc>
        <w:tc>
          <w:tcPr>
            <w:tcW w:w="6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760" w:type="dxa"/>
            <w:vAlign w:val="bottom"/>
          </w:tcPr>
          <w:p>
            <w:pPr>
              <w:spacing w:after="0"/>
              <w:rPr>
                <w:sz w:val="24"/>
                <w:szCs w:val="24"/>
                <w:color w:val="auto"/>
              </w:rPr>
            </w:pPr>
          </w:p>
        </w:tc>
      </w:tr>
      <w:tr>
        <w:trPr>
          <w:trHeight w:val="169"/>
        </w:trPr>
        <w:tc>
          <w:tcPr>
            <w:tcW w:w="11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4"/>
                <w:szCs w:val="14"/>
                <w:color w:val="auto"/>
              </w:rPr>
            </w:pPr>
          </w:p>
        </w:tc>
        <w:tc>
          <w:tcPr>
            <w:tcW w:w="238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9"/>
              </w:rPr>
              <w:t>Press Release dated June 9, 2026</w:t>
            </w:r>
          </w:p>
        </w:tc>
        <w:tc>
          <w:tcPr>
            <w:tcW w:w="368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23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760" w:type="dxa"/>
            <w:vAlign w:val="bottom"/>
          </w:tcPr>
          <w:p>
            <w:pPr>
              <w:spacing w:after="0"/>
              <w:rPr>
                <w:sz w:val="20"/>
                <w:szCs w:val="20"/>
                <w:color w:val="auto"/>
              </w:rPr>
            </w:pPr>
          </w:p>
        </w:tc>
      </w:tr>
      <w:tr>
        <w:trPr>
          <w:trHeight w:val="574"/>
        </w:trPr>
        <w:tc>
          <w:tcPr>
            <w:tcW w:w="1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Date: June 10, 2026</w:t>
      </w:r>
      <w:r>
        <w:rPr>
          <w:sz w:val="20"/>
          <w:szCs w:val="20"/>
          <w:color w:val="auto"/>
        </w:rPr>
        <w:tab/>
      </w:r>
      <w:r>
        <w:rPr>
          <w:rFonts w:ascii="Times New Roman" w:cs="Times New Roman" w:eastAsia="Times New Roman" w:hAnsi="Times New Roman"/>
          <w:sz w:val="17"/>
          <w:szCs w:val="17"/>
          <w:color w:val="auto"/>
        </w:rPr>
        <w:t>ORCHID ISLAND CAPITAL, INC.</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 /s/ Robert E. 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17145</wp:posOffset>
            </wp:positionV>
            <wp:extent cx="30600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Robert E. Cauley</w:t>
      </w:r>
    </w:p>
    <w:p>
      <w:pPr>
        <w:spacing w:after="0" w:line="23"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240"/>
          </w:cols>
          <w:pgMar w:left="320" w:top="576"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ORCHID ISLAND CAPITAL ANNOUNCES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2026 MONTHLY DIVIDEND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31, 2026 RMBS PORTFOLIO CHARACTERISTICS</w:t>
      </w:r>
    </w:p>
    <w:p>
      <w:pPr>
        <w:spacing w:after="0" w:line="207"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2026 Monthly Dividend of $0.10 Per Share of Common Stock</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RMBS Portfolio Characteristics as of May 31, 2026</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Dividend Announcement Expected July 8, 2026</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Vero Beach, Fla., June 9, 2026 - Orchid Island Capital, Inc. (the “Company”) (NYSE: ORC) announced today that the Board of Directors of the Company declared a monthly cash dividend for the month of June 2026. The dividend of $0.10 per share will be paid July 30, 2026 to holders of record of the Company’s common stock on June 30, 2026, with an ex-dividend date of June 30, 2026. The Company plans on announcing its next common stock dividend on July 8,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make regular monthly cash distributions to its holders of common stock. In order to qualify as a real estate investment trust (“REIT”), the Company must distribute annually to its stockholders an amount at least equal to 90% of its REIT taxable income, determined without regard to the deduction for dividends paid and excluding any net capital gain. The Company will be subject to income tax on taxable income that is not distributed and to an excise tax to the extent that a certain percentage of its taxable income is not distributed by specified dates. The Company has not established a minimum distribution payment level and is not assured of its ability to make distributions to stockholders in the future.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9, 2026 and May 31, 2026, the Company had 200,700,226 shares of common stock outstanding. As of March 31, 2026, the Company had 196,700,226 shares of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RMBS Portfolio Characteristics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Details of the RMBS portfolio as of May 31, 2026 are presented below. These figures are preliminary and subject to change. The information contained herein is an intra-quarter update created by the Company based upon information that the Company believes is accurate: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RMBS Valuation Characteristics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RMBS Assets by Agency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Act of 1940 (Whole Pool) Test Results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Agreement Exposure by Counterparty</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RMBS Risk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Orchid Island Capital,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Orchid Island Capital, Inc. is a specialty finance company that invests on a leveraged basis in Agency RMBS. Our investment strategy focuses on, and our portfolio consists of, two categories of Agency RMBS: (i) traditional pass-through Agency RMBS, such as mortgage pass-through certificates and collateralized mortgage obligations issued by Fannie Mae, Freddie Mac or Ginnie Mae, and (ii) structured Agency RMBS. The Company is managed by Bimini Advisors, LLC, a registered investment adviser with the Securities and Exchange Commission.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other federal securities laws. These forward-looking statements include, but are not limited to, statements about the Company’s distributions. These forward-looking statements are based upon Orchid Island Capital, Inc.’s present expectations, but these statements are not guaranteed to occur. Investors should not place undue reliance upon forward-looking statements. For further discussion of the factors that could affect outcomes, please refer to the “Risk Factors” section of the Company’s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color w:val="auto"/>
        </w:rPr>
        <w:t>RMBS Valuation Characteristics</w:t>
      </w:r>
    </w:p>
    <w:p>
      <w:pPr>
        <w:spacing w:after="0"/>
        <w:rPr>
          <w:sz w:val="20"/>
          <w:szCs w:val="20"/>
          <w:color w:val="auto"/>
        </w:rPr>
      </w:pPr>
      <w:r>
        <w:rPr>
          <w:rFonts w:ascii="Times New Roman" w:cs="Times New Roman" w:eastAsia="Times New Roman" w:hAnsi="Times New Roman"/>
          <w:sz w:val="14"/>
          <w:szCs w:val="14"/>
          <w:i w:val="1"/>
          <w:iCs w:val="1"/>
          <w:color w:val="auto"/>
        </w:rPr>
        <w:t>($ in thousands)</w:t>
      </w:r>
    </w:p>
    <w:tbl>
      <w:tblPr>
        <w:tblLayout w:type="fixed"/>
        <w:tblInd w:w="0" w:type="dxa"/>
        <w:tblCellMar>
          <w:top w:w="0" w:type="dxa"/>
          <w:left w:w="0" w:type="dxa"/>
          <w:bottom w:w="0" w:type="dxa"/>
          <w:right w:w="0" w:type="dxa"/>
        </w:tblCellMar>
      </w:tblPr>
      <w:tr>
        <w:trPr>
          <w:trHeight w:val="117"/>
        </w:trPr>
        <w:tc>
          <w:tcPr>
            <w:tcW w:w="2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Realized</w:t>
            </w:r>
          </w:p>
        </w:tc>
        <w:tc>
          <w:tcPr>
            <w:tcW w:w="840" w:type="dxa"/>
            <w:vAlign w:val="bottom"/>
            <w:tcBorders>
              <w:top w:val="single" w:sz="8" w:color="auto"/>
            </w:tcBorders>
          </w:tcPr>
          <w:p>
            <w:pPr>
              <w:jc w:val="center"/>
              <w:ind w:right="48"/>
              <w:spacing w:after="0" w:line="117" w:lineRule="exact"/>
              <w:rPr>
                <w:sz w:val="20"/>
                <w:szCs w:val="20"/>
                <w:color w:val="auto"/>
              </w:rPr>
            </w:pPr>
            <w:r>
              <w:rPr>
                <w:rFonts w:ascii="Times New Roman" w:cs="Times New Roman" w:eastAsia="Times New Roman" w:hAnsi="Times New Roman"/>
                <w:sz w:val="13"/>
                <w:szCs w:val="13"/>
                <w:b w:val="1"/>
                <w:bCs w:val="1"/>
                <w:color w:val="auto"/>
              </w:rPr>
              <w:t>Realized</w:t>
            </w: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Mar-26 -</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Net</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May-26</w:t>
            </w: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May-26</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CPR</w:t>
            </w: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CPR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84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140" w:type="dxa"/>
            <w:vAlign w:val="bottom"/>
          </w:tcPr>
          <w:p>
            <w:pPr>
              <w:spacing w:after="0"/>
              <w:rPr>
                <w:sz w:val="12"/>
                <w:szCs w:val="12"/>
                <w:color w:val="auto"/>
              </w:rPr>
            </w:pPr>
          </w:p>
        </w:tc>
        <w:tc>
          <w:tcPr>
            <w:tcW w:w="14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Modeled Interest</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200" w:type="dxa"/>
            <w:vAlign w:val="bottom"/>
          </w:tcPr>
          <w:p>
            <w:pPr>
              <w:spacing w:after="0"/>
              <w:rPr>
                <w:sz w:val="12"/>
                <w:szCs w:val="12"/>
                <w:color w:val="auto"/>
              </w:rPr>
            </w:pPr>
          </w:p>
        </w:tc>
        <w:tc>
          <w:tcPr>
            <w:tcW w:w="8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Fair</w:t>
            </w:r>
          </w:p>
        </w:tc>
        <w:tc>
          <w:tcPr>
            <w:tcW w:w="7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 of</w:t>
            </w:r>
          </w:p>
        </w:tc>
        <w:tc>
          <w:tcPr>
            <w:tcW w:w="6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8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Month)</w:t>
            </w: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Month)</w:t>
            </w:r>
          </w:p>
        </w:tc>
        <w:tc>
          <w:tcPr>
            <w:tcW w:w="1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Maturity</w:t>
            </w:r>
          </w:p>
        </w:tc>
        <w:tc>
          <w:tcPr>
            <w:tcW w:w="8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8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40" w:type="dxa"/>
            <w:vAlign w:val="bottom"/>
          </w:tcPr>
          <w:p>
            <w:pPr>
              <w:spacing w:after="0"/>
              <w:rPr>
                <w:sz w:val="12"/>
                <w:szCs w:val="12"/>
                <w:color w:val="auto"/>
              </w:rPr>
            </w:pPr>
          </w:p>
        </w:tc>
        <w:tc>
          <w:tcPr>
            <w:tcW w:w="14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Rate Sensitivity (1)</w:t>
            </w:r>
          </w:p>
        </w:tc>
        <w:tc>
          <w:tcPr>
            <w:tcW w:w="0" w:type="dxa"/>
            <w:vAlign w:val="bottom"/>
          </w:tcPr>
          <w:p>
            <w:pPr>
              <w:spacing w:after="0"/>
              <w:rPr>
                <w:sz w:val="1"/>
                <w:szCs w:val="1"/>
                <w:color w:val="auto"/>
              </w:rPr>
            </w:pPr>
          </w:p>
        </w:tc>
      </w:tr>
      <w:tr>
        <w:trPr>
          <w:trHeight w:val="148"/>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w:t>
            </w:r>
          </w:p>
        </w:tc>
        <w:tc>
          <w:tcPr>
            <w:tcW w:w="10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Face</w:t>
            </w:r>
          </w:p>
        </w:tc>
        <w:tc>
          <w:tcPr>
            <w:tcW w:w="200" w:type="dxa"/>
            <w:vAlign w:val="bottom"/>
          </w:tcPr>
          <w:p>
            <w:pPr>
              <w:spacing w:after="0"/>
              <w:rPr>
                <w:sz w:val="12"/>
                <w:szCs w:val="12"/>
                <w:color w:val="auto"/>
              </w:rPr>
            </w:pPr>
          </w:p>
        </w:tc>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6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Coupon</w:t>
            </w:r>
          </w:p>
        </w:tc>
        <w:tc>
          <w:tcPr>
            <w:tcW w:w="8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GWAC</w:t>
            </w:r>
          </w:p>
        </w:tc>
        <w:tc>
          <w:tcPr>
            <w:tcW w:w="5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Age</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8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 Jun)</w:t>
            </w:r>
          </w:p>
        </w:tc>
        <w:tc>
          <w:tcPr>
            <w:tcW w:w="84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 Jun)</w:t>
            </w:r>
          </w:p>
        </w:tc>
        <w:tc>
          <w:tcPr>
            <w:tcW w:w="1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(-50</w:t>
            </w: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(+50 BPS)</w:t>
            </w:r>
          </w:p>
        </w:tc>
        <w:tc>
          <w:tcPr>
            <w:tcW w:w="0" w:type="dxa"/>
            <w:vAlign w:val="bottom"/>
          </w:tcPr>
          <w:p>
            <w:pPr>
              <w:spacing w:after="0"/>
              <w:rPr>
                <w:sz w:val="1"/>
                <w:szCs w:val="1"/>
                <w:color w:val="auto"/>
              </w:rPr>
            </w:pPr>
          </w:p>
        </w:tc>
      </w:tr>
      <w:tr>
        <w:trPr>
          <w:trHeight w:val="173"/>
        </w:trPr>
        <w:tc>
          <w:tcPr>
            <w:tcW w:w="160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BPS)</w:t>
            </w:r>
          </w:p>
        </w:tc>
        <w:tc>
          <w:tcPr>
            <w:tcW w:w="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Fixed Rate RMBS</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30yr 3.0</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318,536</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282,755</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2.52%</w:t>
            </w:r>
          </w:p>
        </w:tc>
        <w:tc>
          <w:tcPr>
            <w:tcW w:w="6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88.77</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3.00%</w:t>
            </w:r>
          </w:p>
        </w:tc>
        <w:tc>
          <w:tcPr>
            <w:tcW w:w="8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3.52%</w:t>
            </w:r>
          </w:p>
        </w:tc>
        <w:tc>
          <w:tcPr>
            <w:tcW w:w="5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292</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8,512</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(8,623)</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30yr 3.5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37,510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34,253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0.31%</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91.32</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261</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30yr 4.0</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48,111</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45,664</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0.41%</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94.91</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4.77%</w:t>
            </w: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c>
          <w:tcPr>
            <w:tcW w:w="1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1,192</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(1,230)</w:t>
            </w:r>
          </w:p>
        </w:tc>
        <w:tc>
          <w:tcPr>
            <w:tcW w:w="0" w:type="dxa"/>
            <w:vAlign w:val="bottom"/>
          </w:tcPr>
          <w:p>
            <w:pPr>
              <w:spacing w:after="0"/>
              <w:rPr>
                <w:sz w:val="1"/>
                <w:szCs w:val="1"/>
                <w:color w:val="auto"/>
              </w:rPr>
            </w:pPr>
          </w:p>
        </w:tc>
      </w:tr>
      <w:tr>
        <w:trPr>
          <w:trHeight w:val="149"/>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30yr 4.5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440,113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425,236</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96.62</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5.46%</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9,449</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(10,375)</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30yr 5.0</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2,176,760</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2,152,687</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98.89</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345</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42,179</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(49,229)</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30yr 5.5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3,607,056</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3,657,606</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32.62%</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101.40</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6.46%</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342</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57,224</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(71,121)</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30yr 6.0</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3,096,813</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3,194,305</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28.49%</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103.15</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6.92%</w:t>
            </w: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140" w:type="dxa"/>
            <w:vAlign w:val="bottom"/>
          </w:tcPr>
          <w:p>
            <w:pPr>
              <w:spacing w:after="0"/>
              <w:rPr>
                <w:sz w:val="12"/>
                <w:szCs w:val="12"/>
                <w:color w:val="auto"/>
              </w:rPr>
            </w:pPr>
          </w:p>
        </w:tc>
        <w:tc>
          <w:tcPr>
            <w:tcW w:w="64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33,662</w:t>
            </w:r>
          </w:p>
        </w:tc>
        <w:tc>
          <w:tcPr>
            <w:tcW w:w="2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(46,561)</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30yr 6.5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1,286,355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1,349,093</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104.88</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7.39%</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336</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9,260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(14,210)</w:t>
            </w:r>
          </w:p>
        </w:tc>
        <w:tc>
          <w:tcPr>
            <w:tcW w:w="0" w:type="dxa"/>
            <w:vAlign w:val="bottom"/>
          </w:tcPr>
          <w:p>
            <w:pPr>
              <w:spacing w:after="0"/>
              <w:rPr>
                <w:sz w:val="1"/>
                <w:szCs w:val="1"/>
                <w:color w:val="auto"/>
              </w:rPr>
            </w:pPr>
          </w:p>
        </w:tc>
      </w:tr>
      <w:tr>
        <w:trPr>
          <w:trHeight w:val="149"/>
        </w:trPr>
        <w:tc>
          <w:tcPr>
            <w:tcW w:w="1600" w:type="dxa"/>
            <w:vAlign w:val="bottom"/>
            <w:tcBorders>
              <w:bottom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color w:val="auto"/>
              </w:rPr>
              <w:t>30yr 7.0</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54,824</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58,190</w:t>
            </w: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0.52%</w:t>
            </w:r>
          </w:p>
        </w:tc>
        <w:tc>
          <w:tcPr>
            <w:tcW w:w="6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106.14</w:t>
            </w: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80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7.92%</w:t>
            </w:r>
          </w:p>
        </w:tc>
        <w:tc>
          <w:tcPr>
            <w:tcW w:w="5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7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322</w:t>
            </w: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45.5%</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(629)</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30yr Total</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11,066,078</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11,199,789</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99.89%</w:t>
            </w:r>
          </w:p>
        </w:tc>
        <w:tc>
          <w:tcPr>
            <w:tcW w:w="6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101.21</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5.54%</w:t>
            </w:r>
          </w:p>
        </w:tc>
        <w:tc>
          <w:tcPr>
            <w:tcW w:w="8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6.48%</w:t>
            </w:r>
          </w:p>
        </w:tc>
        <w:tc>
          <w:tcPr>
            <w:tcW w:w="5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338</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162,961</w:t>
            </w:r>
          </w:p>
        </w:tc>
        <w:tc>
          <w:tcPr>
            <w:tcW w:w="800" w:type="dxa"/>
            <w:vAlign w:val="bottom"/>
            <w:tcBorders>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(203,008)</w:t>
            </w:r>
          </w:p>
        </w:tc>
        <w:tc>
          <w:tcPr>
            <w:tcW w:w="0" w:type="dxa"/>
            <w:vAlign w:val="bottom"/>
          </w:tcPr>
          <w:p>
            <w:pPr>
              <w:spacing w:after="0"/>
              <w:rPr>
                <w:sz w:val="1"/>
                <w:szCs w:val="1"/>
                <w:color w:val="auto"/>
              </w:rPr>
            </w:pPr>
          </w:p>
        </w:tc>
      </w:tr>
      <w:tr>
        <w:trPr>
          <w:trHeight w:val="117"/>
        </w:trPr>
        <w:tc>
          <w:tcPr>
            <w:tcW w:w="16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Total Pass-Through</w:t>
            </w:r>
          </w:p>
        </w:tc>
        <w:tc>
          <w:tcPr>
            <w:tcW w:w="100" w:type="dxa"/>
            <w:vAlign w:val="bottom"/>
          </w:tcPr>
          <w:p>
            <w:pPr>
              <w:spacing w:after="0"/>
              <w:rPr>
                <w:sz w:val="10"/>
                <w:szCs w:val="10"/>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11,066,078</w:t>
            </w:r>
          </w:p>
        </w:tc>
        <w:tc>
          <w:tcPr>
            <w:tcW w:w="200" w:type="dxa"/>
            <w:vAlign w:val="bottom"/>
          </w:tcPr>
          <w:p>
            <w:pPr>
              <w:spacing w:after="0"/>
              <w:rPr>
                <w:sz w:val="10"/>
                <w:szCs w:val="10"/>
                <w:color w:val="auto"/>
              </w:rPr>
            </w:pPr>
          </w:p>
        </w:tc>
        <w:tc>
          <w:tcPr>
            <w:tcW w:w="8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11,199,789</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99.89%</w:t>
            </w:r>
          </w:p>
        </w:tc>
        <w:tc>
          <w:tcPr>
            <w:tcW w:w="6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101.21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8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6.48%</w:t>
            </w:r>
          </w:p>
        </w:tc>
        <w:tc>
          <w:tcPr>
            <w:tcW w:w="5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w:t>
            </w: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338</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40" w:type="dxa"/>
            <w:vAlign w:val="bottom"/>
          </w:tcPr>
          <w:p>
            <w:pPr>
              <w:spacing w:after="0"/>
              <w:rPr>
                <w:sz w:val="10"/>
                <w:szCs w:val="10"/>
                <w:color w:val="auto"/>
              </w:rPr>
            </w:pPr>
          </w:p>
        </w:tc>
        <w:tc>
          <w:tcPr>
            <w:tcW w:w="6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162,961</w:t>
            </w:r>
          </w:p>
        </w:tc>
        <w:tc>
          <w:tcPr>
            <w:tcW w:w="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(203,008)</w:t>
            </w:r>
          </w:p>
        </w:tc>
        <w:tc>
          <w:tcPr>
            <w:tcW w:w="0" w:type="dxa"/>
            <w:vAlign w:val="bottom"/>
          </w:tcPr>
          <w:p>
            <w:pPr>
              <w:spacing w:after="0"/>
              <w:rPr>
                <w:sz w:val="1"/>
                <w:szCs w:val="1"/>
                <w:color w:val="auto"/>
              </w:rPr>
            </w:pPr>
          </w:p>
        </w:tc>
      </w:tr>
      <w:tr>
        <w:trPr>
          <w:trHeight w:val="173"/>
        </w:trPr>
        <w:tc>
          <w:tcPr>
            <w:tcW w:w="16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RMBS</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0" w:type="dxa"/>
            <w:vAlign w:val="bottom"/>
            <w:shd w:val="clear" w:color="auto" w:fill="CCEEFF"/>
          </w:tcPr>
          <w:p>
            <w:pPr>
              <w:spacing w:after="0"/>
              <w:rPr>
                <w:sz w:val="11"/>
                <w:szCs w:val="11"/>
                <w:color w:val="auto"/>
              </w:rPr>
            </w:pPr>
          </w:p>
        </w:tc>
        <w:tc>
          <w:tcPr>
            <w:tcW w:w="140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Structured RMBS</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color w:val="auto"/>
              </w:rPr>
              <w:t>IO 20yr 4.0</w:t>
            </w:r>
          </w:p>
        </w:tc>
        <w:tc>
          <w:tcPr>
            <w:tcW w:w="100" w:type="dxa"/>
            <w:vAlign w:val="bottom"/>
          </w:tcPr>
          <w:p>
            <w:pPr>
              <w:spacing w:after="0"/>
              <w:rPr>
                <w:sz w:val="12"/>
                <w:szCs w:val="12"/>
                <w:color w:val="auto"/>
              </w:rPr>
            </w:pPr>
          </w:p>
        </w:tc>
        <w:tc>
          <w:tcPr>
            <w:tcW w:w="7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4,774</w:t>
            </w:r>
          </w:p>
        </w:tc>
        <w:tc>
          <w:tcPr>
            <w:tcW w:w="200" w:type="dxa"/>
            <w:vAlign w:val="bottom"/>
          </w:tcPr>
          <w:p>
            <w:pPr>
              <w:spacing w:after="0"/>
              <w:rPr>
                <w:sz w:val="12"/>
                <w:szCs w:val="12"/>
                <w:color w:val="auto"/>
              </w:rPr>
            </w:pPr>
          </w:p>
        </w:tc>
        <w:tc>
          <w:tcPr>
            <w:tcW w:w="80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361</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7.56</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4.56%</w:t>
            </w:r>
          </w:p>
        </w:tc>
        <w:tc>
          <w:tcPr>
            <w:tcW w:w="5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172</w:t>
            </w:r>
          </w:p>
        </w:tc>
        <w:tc>
          <w:tcPr>
            <w:tcW w:w="7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8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140" w:type="dxa"/>
            <w:vAlign w:val="bottom"/>
          </w:tcPr>
          <w:p>
            <w:pPr>
              <w:spacing w:after="0"/>
              <w:rPr>
                <w:sz w:val="12"/>
                <w:szCs w:val="12"/>
                <w:color w:val="auto"/>
              </w:rPr>
            </w:pPr>
          </w:p>
        </w:tc>
        <w:tc>
          <w:tcPr>
            <w:tcW w:w="640" w:type="dxa"/>
            <w:vAlign w:val="bottom"/>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IO 30yr 4.0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60,486</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10,896</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0.10%</w:t>
            </w:r>
          </w:p>
        </w:tc>
        <w:tc>
          <w:tcPr>
            <w:tcW w:w="6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18.01</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8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5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140</w:t>
            </w:r>
          </w:p>
        </w:tc>
        <w:tc>
          <w:tcPr>
            <w:tcW w:w="78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IO 30yr 4.5</w:t>
            </w:r>
          </w:p>
        </w:tc>
        <w:tc>
          <w:tcPr>
            <w:tcW w:w="100" w:type="dxa"/>
            <w:vAlign w:val="bottom"/>
          </w:tcPr>
          <w:p>
            <w:pPr>
              <w:spacing w:after="0"/>
              <w:rPr>
                <w:sz w:val="12"/>
                <w:szCs w:val="12"/>
                <w:color w:val="auto"/>
              </w:rPr>
            </w:pPr>
          </w:p>
        </w:tc>
        <w:tc>
          <w:tcPr>
            <w:tcW w:w="7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2,619</w:t>
            </w:r>
          </w:p>
        </w:tc>
        <w:tc>
          <w:tcPr>
            <w:tcW w:w="200" w:type="dxa"/>
            <w:vAlign w:val="bottom"/>
          </w:tcPr>
          <w:p>
            <w:pPr>
              <w:spacing w:after="0"/>
              <w:rPr>
                <w:sz w:val="12"/>
                <w:szCs w:val="12"/>
                <w:color w:val="auto"/>
              </w:rPr>
            </w:pPr>
          </w:p>
        </w:tc>
        <w:tc>
          <w:tcPr>
            <w:tcW w:w="8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18.57</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4.50%</w:t>
            </w:r>
          </w:p>
        </w:tc>
        <w:tc>
          <w:tcPr>
            <w:tcW w:w="8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5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7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40" w:type="dxa"/>
            <w:vAlign w:val="bottom"/>
          </w:tcPr>
          <w:p>
            <w:pPr>
              <w:spacing w:after="0"/>
              <w:rPr>
                <w:sz w:val="12"/>
                <w:szCs w:val="12"/>
                <w:color w:val="auto"/>
              </w:rPr>
            </w:pPr>
          </w:p>
        </w:tc>
        <w:tc>
          <w:tcPr>
            <w:tcW w:w="64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160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IO 30yr 5.0</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19.50</w:t>
            </w: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5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191</w:t>
            </w:r>
          </w:p>
        </w:tc>
        <w:tc>
          <w:tcPr>
            <w:tcW w:w="78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IO Total</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69,267</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12,014</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0.11%</w:t>
            </w:r>
          </w:p>
        </w:tc>
        <w:tc>
          <w:tcPr>
            <w:tcW w:w="6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17.34</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4.04%</w:t>
            </w:r>
          </w:p>
        </w:tc>
        <w:tc>
          <w:tcPr>
            <w:tcW w:w="8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4.62%</w:t>
            </w: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146</w:t>
            </w: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197</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5.9%</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IIO 30yr 4.0</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14,292</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71</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6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0.50</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0.16%</w:t>
            </w:r>
          </w:p>
        </w:tc>
        <w:tc>
          <w:tcPr>
            <w:tcW w:w="8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4.40%</w:t>
            </w:r>
          </w:p>
        </w:tc>
        <w:tc>
          <w:tcPr>
            <w:tcW w:w="5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7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244</w:t>
            </w: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0.6%</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Structured RMBS</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83,559</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12,085</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0.11%</w:t>
            </w:r>
          </w:p>
        </w:tc>
        <w:tc>
          <w:tcPr>
            <w:tcW w:w="6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14.46</w:t>
            </w: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3.37%</w:t>
            </w:r>
          </w:p>
        </w:tc>
        <w:tc>
          <w:tcPr>
            <w:tcW w:w="8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4.59%</w:t>
            </w: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138</w:t>
            </w: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205</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(72)</w:t>
            </w: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2"/>
        </w:trPr>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Mortgage Assets</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11,149,637</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11,211,874</w:t>
            </w: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100.00%</w:t>
            </w:r>
          </w:p>
        </w:tc>
        <w:tc>
          <w:tcPr>
            <w:tcW w:w="6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5.52%</w:t>
            </w:r>
          </w:p>
        </w:tc>
        <w:tc>
          <w:tcPr>
            <w:tcW w:w="8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6.46%</w:t>
            </w:r>
          </w:p>
        </w:tc>
        <w:tc>
          <w:tcPr>
            <w:tcW w:w="5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7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337</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10.4%</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13.1%</w:t>
            </w:r>
          </w:p>
        </w:tc>
        <w:tc>
          <w:tcPr>
            <w:tcW w:w="780" w:type="dxa"/>
            <w:vAlign w:val="bottom"/>
            <w:tcBorders>
              <w:bottom w:val="single" w:sz="8" w:color="auto"/>
            </w:tcBorders>
            <w:gridSpan w:val="2"/>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$ 162,889</w:t>
            </w:r>
          </w:p>
        </w:tc>
        <w:tc>
          <w:tcPr>
            <w:tcW w:w="8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(202,972)</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7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Hedge</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Modeled Interest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Rate Sensitivity (1)</w:t>
            </w:r>
          </w:p>
        </w:tc>
        <w:tc>
          <w:tcPr>
            <w:tcW w:w="0" w:type="dxa"/>
            <w:vAlign w:val="bottom"/>
          </w:tcPr>
          <w:p>
            <w:pPr>
              <w:spacing w:after="0"/>
              <w:rPr>
                <w:sz w:val="1"/>
                <w:szCs w:val="1"/>
                <w:color w:val="auto"/>
              </w:rPr>
            </w:pPr>
          </w:p>
        </w:tc>
      </w:tr>
      <w:tr>
        <w:trPr>
          <w:trHeight w:val="148"/>
        </w:trPr>
        <w:tc>
          <w:tcPr>
            <w:tcW w:w="16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Hedge</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78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6"/>
              </w:rPr>
              <w:t>End</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(-50 BPS)</w:t>
            </w:r>
          </w:p>
        </w:tc>
        <w:tc>
          <w:tcPr>
            <w:tcW w:w="200" w:type="dxa"/>
            <w:vAlign w:val="bottom"/>
          </w:tcPr>
          <w:p>
            <w:pPr>
              <w:spacing w:after="0"/>
              <w:rPr>
                <w:sz w:val="12"/>
                <w:szCs w:val="12"/>
                <w:color w:val="auto"/>
              </w:rPr>
            </w:pPr>
          </w:p>
        </w:tc>
        <w:tc>
          <w:tcPr>
            <w:tcW w:w="6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(+50</w:t>
            </w:r>
          </w:p>
        </w:tc>
        <w:tc>
          <w:tcPr>
            <w:tcW w:w="0" w:type="dxa"/>
            <w:vAlign w:val="bottom"/>
          </w:tcPr>
          <w:p>
            <w:pPr>
              <w:spacing w:after="0"/>
              <w:rPr>
                <w:sz w:val="1"/>
                <w:szCs w:val="1"/>
                <w:color w:val="auto"/>
              </w:rPr>
            </w:pPr>
          </w:p>
        </w:tc>
      </w:tr>
      <w:tr>
        <w:trPr>
          <w:trHeight w:val="173"/>
        </w:trPr>
        <w:tc>
          <w:tcPr>
            <w:tcW w:w="160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BPS)</w:t>
            </w:r>
          </w:p>
        </w:tc>
        <w:tc>
          <w:tcPr>
            <w:tcW w:w="0" w:type="dxa"/>
            <w:vAlign w:val="bottom"/>
          </w:tcPr>
          <w:p>
            <w:pPr>
              <w:spacing w:after="0"/>
              <w:rPr>
                <w:sz w:val="1"/>
                <w:szCs w:val="1"/>
                <w:color w:val="auto"/>
              </w:rPr>
            </w:pPr>
          </w:p>
        </w:tc>
      </w:tr>
      <w:tr>
        <w:trPr>
          <w:trHeight w:val="142"/>
        </w:trPr>
        <w:tc>
          <w:tcPr>
            <w:tcW w:w="160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3-Month SOFR Futures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(390,000)</w:t>
            </w:r>
          </w:p>
        </w:tc>
        <w:tc>
          <w:tcPr>
            <w:tcW w:w="78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Dec-26</w:t>
            </w: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(2,048)</w:t>
            </w: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2,048</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10-Year Treasury Future(2)</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(188,600)</w:t>
            </w: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May-33</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(6,037)</w:t>
            </w:r>
          </w:p>
        </w:tc>
        <w:tc>
          <w:tcPr>
            <w:tcW w:w="20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5,860</w:t>
            </w:r>
          </w:p>
        </w:tc>
        <w:tc>
          <w:tcPr>
            <w:tcW w:w="0" w:type="dxa"/>
            <w:vAlign w:val="bottom"/>
          </w:tcPr>
          <w:p>
            <w:pPr>
              <w:spacing w:after="0"/>
              <w:rPr>
                <w:sz w:val="1"/>
                <w:szCs w:val="1"/>
                <w:color w:val="auto"/>
              </w:rPr>
            </w:pPr>
          </w:p>
        </w:tc>
      </w:tr>
      <w:tr>
        <w:trPr>
          <w:trHeight w:val="149"/>
        </w:trPr>
        <w:tc>
          <w:tcPr>
            <w:tcW w:w="246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10-Year Ultra Treasury Future(3)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Feb-36</w:t>
            </w: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(2,638)</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2,526</w:t>
            </w:r>
          </w:p>
        </w:tc>
        <w:tc>
          <w:tcPr>
            <w:tcW w:w="0" w:type="dxa"/>
            <w:vAlign w:val="bottom"/>
          </w:tcPr>
          <w:p>
            <w:pPr>
              <w:spacing w:after="0"/>
              <w:rPr>
                <w:sz w:val="1"/>
                <w:szCs w:val="1"/>
                <w:color w:val="auto"/>
              </w:rPr>
            </w:pPr>
          </w:p>
        </w:tc>
      </w:tr>
      <w:tr>
        <w:trPr>
          <w:trHeight w:val="148"/>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ERIS SOFR Swap Futures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Jun-31</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w:t>
            </w:r>
          </w:p>
        </w:tc>
        <w:tc>
          <w:tcPr>
            <w:tcW w:w="20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48"/>
        </w:trPr>
        <w:tc>
          <w:tcPr>
            <w:tcW w:w="160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Swaps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(7,814,200)</w:t>
            </w:r>
          </w:p>
        </w:tc>
        <w:tc>
          <w:tcPr>
            <w:tcW w:w="78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Feb-31</w:t>
            </w:r>
          </w:p>
        </w:tc>
        <w:tc>
          <w:tcPr>
            <w:tcW w:w="6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(164,240)</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158,827</w:t>
            </w:r>
          </w:p>
        </w:tc>
        <w:tc>
          <w:tcPr>
            <w:tcW w:w="0" w:type="dxa"/>
            <w:vAlign w:val="bottom"/>
          </w:tcPr>
          <w:p>
            <w:pPr>
              <w:spacing w:after="0"/>
              <w:rPr>
                <w:sz w:val="1"/>
                <w:szCs w:val="1"/>
                <w:color w:val="auto"/>
              </w:rPr>
            </w:pPr>
          </w:p>
        </w:tc>
      </w:tr>
      <w:tr>
        <w:trPr>
          <w:trHeight w:val="149"/>
        </w:trPr>
        <w:tc>
          <w:tcPr>
            <w:tcW w:w="16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Swaptions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78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Dec-31</w:t>
            </w: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(2,809)</w:t>
            </w:r>
          </w:p>
        </w:tc>
        <w:tc>
          <w:tcPr>
            <w:tcW w:w="200" w:type="dxa"/>
            <w:vAlign w:val="bottom"/>
          </w:tcPr>
          <w:p>
            <w:pPr>
              <w:spacing w:after="0"/>
              <w:rPr>
                <w:sz w:val="12"/>
                <w:szCs w:val="12"/>
                <w:color w:val="auto"/>
              </w:rPr>
            </w:pPr>
          </w:p>
        </w:tc>
        <w:tc>
          <w:tcPr>
            <w:tcW w:w="60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4,875</w:t>
            </w:r>
          </w:p>
        </w:tc>
        <w:tc>
          <w:tcPr>
            <w:tcW w:w="0" w:type="dxa"/>
            <w:vAlign w:val="bottom"/>
          </w:tcPr>
          <w:p>
            <w:pPr>
              <w:spacing w:after="0"/>
              <w:rPr>
                <w:sz w:val="1"/>
                <w:szCs w:val="1"/>
                <w:color w:val="auto"/>
              </w:rPr>
            </w:pPr>
          </w:p>
        </w:tc>
      </w:tr>
      <w:tr>
        <w:trPr>
          <w:trHeight w:val="148"/>
        </w:trPr>
        <w:tc>
          <w:tcPr>
            <w:tcW w:w="1600" w:type="dxa"/>
            <w:vAlign w:val="bottom"/>
            <w:tcBorders>
              <w:bottom w:val="single" w:sz="8" w:color="auto"/>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TBA Short</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(300,000)</w:t>
            </w:r>
          </w:p>
        </w:tc>
        <w:tc>
          <w:tcPr>
            <w:tcW w:w="780" w:type="dxa"/>
            <w:vAlign w:val="bottom"/>
            <w:tcBorders>
              <w:bottom w:val="single" w:sz="8" w:color="auto"/>
            </w:tcBorders>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Jun-26</w:t>
            </w:r>
          </w:p>
        </w:tc>
        <w:tc>
          <w:tcPr>
            <w:tcW w:w="6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(3,351)</w:t>
            </w: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4,667</w:t>
            </w:r>
          </w:p>
        </w:tc>
        <w:tc>
          <w:tcPr>
            <w:tcW w:w="0" w:type="dxa"/>
            <w:vAlign w:val="bottom"/>
          </w:tcPr>
          <w:p>
            <w:pPr>
              <w:spacing w:after="0"/>
              <w:rPr>
                <w:sz w:val="1"/>
                <w:szCs w:val="1"/>
                <w:color w:val="auto"/>
              </w:rPr>
            </w:pPr>
          </w:p>
        </w:tc>
      </w:tr>
      <w:tr>
        <w:trPr>
          <w:trHeight w:val="142"/>
        </w:trPr>
        <w:tc>
          <w:tcPr>
            <w:tcW w:w="1600" w:type="dxa"/>
            <w:vAlign w:val="bottom"/>
            <w:tcBorders>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Hedge Total</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(9,762,800)</w:t>
            </w:r>
          </w:p>
        </w:tc>
        <w:tc>
          <w:tcPr>
            <w:tcW w:w="7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 (181,318)</w:t>
            </w:r>
          </w:p>
        </w:tc>
        <w:tc>
          <w:tcPr>
            <w:tcW w:w="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178,993</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00" w:type="dxa"/>
            <w:vAlign w:val="bottom"/>
            <w:tcBorders>
              <w:bottom w:val="single" w:sz="8" w:color="auto"/>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Rate Shock Grand Total</w:t>
            </w:r>
          </w:p>
        </w:tc>
        <w:tc>
          <w:tcPr>
            <w:tcW w:w="1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(18,429)</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(23,979)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20" w:hanging="332"/>
        <w:spacing w:after="0" w:line="269" w:lineRule="auto"/>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Modeled results from Citigroup Global Markets Inc. Yield Book. Interest rate shocks assume instantaneous parallel shifts and horizon prices are calculated assuming constant SOFR option-adjusted spreads. These results are for illustrative purposes only and actual results may differ materially.</w:t>
      </w: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Ten-year Treasury futures contracts were valued at prices of $109.83 at May 31, 2026. The market value of the short position was $207.1 million.</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Ten-year Ultra Treasury futures contracts were valued at prices of $112.08 at May 31, 2026. The market value of the short position was $67.3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RMBS Assets by Agency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0" w:type="dxa"/>
            <w:vAlign w:val="bottom"/>
          </w:tcPr>
          <w:p>
            <w:pPr>
              <w:spacing w:after="0"/>
              <w:rPr>
                <w:sz w:val="16"/>
                <w:szCs w:val="16"/>
                <w:color w:val="auto"/>
              </w:rPr>
            </w:pPr>
          </w:p>
        </w:tc>
      </w:tr>
      <w:tr>
        <w:trPr>
          <w:trHeight w:val="203"/>
        </w:trPr>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Portfolio</w:t>
            </w:r>
          </w:p>
        </w:tc>
      </w:tr>
      <w:tr>
        <w:trPr>
          <w:trHeight w:val="199"/>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May 31, 2026</w:t>
            </w:r>
          </w:p>
        </w:tc>
        <w:tc>
          <w:tcPr>
            <w:tcW w:w="6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Fannie Mae</w:t>
            </w: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5,895,030</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20" w:type="dxa"/>
            <w:vAlign w:val="bottom"/>
          </w:tcPr>
          <w:p>
            <w:pPr>
              <w:spacing w:after="0"/>
              <w:rPr>
                <w:sz w:val="17"/>
                <w:szCs w:val="17"/>
                <w:color w:val="auto"/>
              </w:rPr>
            </w:pPr>
          </w:p>
        </w:tc>
      </w:tr>
      <w:tr>
        <w:trPr>
          <w:trHeight w:val="20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Freddie Mac</w:t>
            </w:r>
          </w:p>
        </w:tc>
        <w:tc>
          <w:tcPr>
            <w:tcW w:w="6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5,316,844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0" w:type="dxa"/>
            <w:vAlign w:val="bottom"/>
          </w:tcPr>
          <w:p>
            <w:pPr>
              <w:spacing w:after="0"/>
              <w:rPr>
                <w:sz w:val="17"/>
                <w:szCs w:val="17"/>
                <w:color w:val="auto"/>
              </w:rPr>
            </w:pPr>
          </w:p>
        </w:tc>
      </w:tr>
      <w:tr>
        <w:trPr>
          <w:trHeight w:val="19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Mortgage Assets</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11,211,874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Investment Company Act of 1940 Whole Pool Test</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86"/>
        </w:trPr>
        <w:tc>
          <w:tcPr>
            <w:tcW w:w="4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20" w:type="dxa"/>
            <w:vAlign w:val="bottom"/>
          </w:tcPr>
          <w:p>
            <w:pPr>
              <w:spacing w:after="0"/>
              <w:rPr>
                <w:sz w:val="16"/>
                <w:szCs w:val="16"/>
                <w:color w:val="auto"/>
              </w:rPr>
            </w:pPr>
          </w:p>
        </w:tc>
      </w:tr>
      <w:tr>
        <w:trPr>
          <w:trHeight w:val="203"/>
        </w:trPr>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jc w:val="center"/>
              <w:ind w:right="899"/>
              <w:spacing w:after="0"/>
              <w:rPr>
                <w:sz w:val="20"/>
                <w:szCs w:val="20"/>
                <w:color w:val="auto"/>
              </w:rPr>
            </w:pPr>
            <w:r>
              <w:rPr>
                <w:rFonts w:ascii="Times New Roman" w:cs="Times New Roman" w:eastAsia="Times New Roman" w:hAnsi="Times New Roman"/>
                <w:sz w:val="16"/>
                <w:szCs w:val="16"/>
                <w:b w:val="1"/>
                <w:bCs w:val="1"/>
                <w:color w:val="auto"/>
              </w:rPr>
              <w:t>Fair</w:t>
            </w: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 Category</w:t>
            </w:r>
          </w:p>
        </w:tc>
        <w:tc>
          <w:tcPr>
            <w:tcW w:w="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520" w:type="dxa"/>
            <w:vAlign w:val="bottom"/>
            <w:gridSpan w:val="2"/>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Portfolio</w:t>
            </w:r>
          </w:p>
        </w:tc>
      </w:tr>
      <w:tr>
        <w:trPr>
          <w:trHeight w:val="199"/>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 of May 31, 2026</w:t>
            </w:r>
          </w:p>
        </w:tc>
        <w:tc>
          <w:tcPr>
            <w:tcW w:w="6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Non-Whole Pool Assets</w:t>
            </w: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581,118</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7"/>
                <w:szCs w:val="17"/>
                <w:color w:val="auto"/>
              </w:rPr>
            </w:pPr>
          </w:p>
        </w:tc>
      </w:tr>
      <w:tr>
        <w:trPr>
          <w:trHeight w:val="203"/>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Whole Pool Assets</w:t>
            </w:r>
          </w:p>
        </w:tc>
        <w:tc>
          <w:tcPr>
            <w:tcW w:w="6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10,630,756</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20" w:type="dxa"/>
            <w:vAlign w:val="bottom"/>
          </w:tcPr>
          <w:p>
            <w:pPr>
              <w:spacing w:after="0"/>
              <w:rPr>
                <w:sz w:val="17"/>
                <w:szCs w:val="17"/>
                <w:color w:val="auto"/>
              </w:rPr>
            </w:pPr>
          </w:p>
        </w:tc>
      </w:tr>
      <w:tr>
        <w:trPr>
          <w:trHeight w:val="196"/>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Total Mortgage Assets</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rPr>
              <w:t>11,211,874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0" w:type="dxa"/>
            <w:vAlign w:val="bottom"/>
          </w:tcPr>
          <w:p>
            <w:pPr>
              <w:spacing w:after="0"/>
              <w:rPr>
                <w:sz w:val="17"/>
                <w:szCs w:val="17"/>
                <w:color w:val="auto"/>
              </w:rPr>
            </w:pPr>
          </w:p>
        </w:tc>
      </w:tr>
      <w:tr>
        <w:trPr>
          <w:trHeight w:val="20"/>
        </w:trPr>
        <w:tc>
          <w:tcPr>
            <w:tcW w:w="4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99"/>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Borrowings By Counterparty</w:t>
            </w:r>
          </w:p>
        </w:tc>
        <w:tc>
          <w:tcPr>
            <w:tcW w:w="6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5"/>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87"/>
        </w:trPr>
        <w:tc>
          <w:tcPr>
            <w:tcW w:w="4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w w:val="95"/>
              </w:rPr>
              <w:t>% of</w:t>
            </w:r>
          </w:p>
        </w:tc>
        <w:tc>
          <w:tcPr>
            <w:tcW w:w="680" w:type="dxa"/>
            <w:vAlign w:val="bottom"/>
          </w:tcPr>
          <w:p>
            <w:pPr>
              <w:spacing w:after="0"/>
              <w:rPr>
                <w:sz w:val="17"/>
                <w:szCs w:val="17"/>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Pr>
          <w:p>
            <w:pPr>
              <w:ind w:lef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680" w:type="dxa"/>
            <w:vAlign w:val="bottom"/>
          </w:tcPr>
          <w:p>
            <w:pPr>
              <w:spacing w:after="0"/>
              <w:rPr>
                <w:sz w:val="17"/>
                <w:szCs w:val="17"/>
                <w:color w:val="auto"/>
              </w:rPr>
            </w:pPr>
          </w:p>
        </w:tc>
        <w:tc>
          <w:tcPr>
            <w:tcW w:w="12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Repo</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Longest</w:t>
            </w:r>
          </w:p>
        </w:tc>
      </w:tr>
      <w:tr>
        <w:trPr>
          <w:trHeight w:val="215"/>
        </w:trPr>
        <w:tc>
          <w:tcPr>
            <w:tcW w:w="4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May 31, 2026</w:t>
            </w:r>
          </w:p>
        </w:tc>
        <w:tc>
          <w:tcPr>
            <w:tcW w:w="680" w:type="dxa"/>
            <w:vAlign w:val="bottom"/>
          </w:tcPr>
          <w:p>
            <w:pPr>
              <w:spacing w:after="0"/>
              <w:rPr>
                <w:sz w:val="18"/>
                <w:szCs w:val="18"/>
                <w:color w:val="auto"/>
              </w:rPr>
            </w:pPr>
          </w:p>
        </w:tc>
        <w:tc>
          <w:tcPr>
            <w:tcW w:w="130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Borrowings</w:t>
            </w:r>
          </w:p>
        </w:tc>
        <w:tc>
          <w:tcPr>
            <w:tcW w:w="66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w w:val="97"/>
              </w:rPr>
              <w:t>Debt</w:t>
            </w:r>
          </w:p>
        </w:tc>
        <w:tc>
          <w:tcPr>
            <w:tcW w:w="68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Days</w:t>
            </w:r>
          </w:p>
        </w:tc>
        <w:tc>
          <w:tcPr>
            <w:tcW w:w="13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Maturity</w:t>
            </w:r>
          </w:p>
        </w:tc>
      </w:tr>
      <w:tr>
        <w:trPr>
          <w:trHeight w:val="199"/>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Marex Capital Markets Inc.</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498,421</w:t>
            </w: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w:t>
            </w: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7/23/2026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Citigroup Global Markets Inc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486,749</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7/27/2026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StoneX Financial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486,529</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103</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9/23/2026</w:t>
            </w:r>
          </w:p>
        </w:tc>
        <w:tc>
          <w:tcPr>
            <w:tcW w:w="20" w:type="dxa"/>
            <w:vAlign w:val="bottom"/>
          </w:tcPr>
          <w:p>
            <w:pPr>
              <w:spacing w:after="0"/>
              <w:rPr>
                <w:sz w:val="17"/>
                <w:szCs w:val="17"/>
                <w:color w:val="auto"/>
              </w:rPr>
            </w:pPr>
          </w:p>
        </w:tc>
      </w:tr>
      <w:tr>
        <w:trPr>
          <w:trHeight w:val="202"/>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ABN AMRO Bank N.V.</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478,711</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7/20/2026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Wells Fargo Securities, LLC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475,199</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8/19/2026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ASL Capital Markets Inc.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472,828</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9/21/2026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South Street Securities, LLC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466,233</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11/13/2026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The Bank of Nova Scotia</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460,634</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8/13/2026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J.P. Morgan Securities LLC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453,205</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6/26/2026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RBC Capital Markets,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449,008</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7/27/2026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Hidden Road Partners Civ US LLC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444,505</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8/26/2026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Clear Street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431,670</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7/13/2026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Cantor Fitzgerald &amp; Co</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430,958</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6/25/2026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DV Securities, LLC Repo</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423,823</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8/27/2026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Daiwa Securities America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422,808</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8/18/2026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Banco Santander SA</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413,756</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7/20/2026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Goldman, Sachs &amp; Co</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399,848</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7/27/2026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Bank of Montreal</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380,100</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6/15/2026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Merrill Lynch, Pierce, Fenner &amp; Smith</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370,892</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6/26/2026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ING Financial Markets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370,344</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7/13/2026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Mirae Asset Securities (USA)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322,701</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6/22/2026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Brean Capital,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300,096</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7/27/2026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Mitsubishi UFJ Securities (USA),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240,338</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6/22/2026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MUFG Securities Canada, Ltd.</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223,362</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6/4/2026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Nomura Securities International, Inc.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221,512</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7/10/2026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Mizuho Securities USA LLC</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186,103</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6/18/2026</w:t>
            </w:r>
          </w:p>
        </w:tc>
        <w:tc>
          <w:tcPr>
            <w:tcW w:w="20" w:type="dxa"/>
            <w:vAlign w:val="bottom"/>
          </w:tcPr>
          <w:p>
            <w:pPr>
              <w:spacing w:after="0"/>
              <w:rPr>
                <w:sz w:val="17"/>
                <w:szCs w:val="17"/>
                <w:color w:val="auto"/>
              </w:rPr>
            </w:pPr>
          </w:p>
        </w:tc>
      </w:tr>
      <w:tr>
        <w:trPr>
          <w:trHeight w:val="202"/>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TD Securities (USA) LLC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172,185</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6/12/2026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Natixis, New York Branch</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94,018</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6/26/2026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Morgan Stanley &amp; Co. LLC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48,571</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7/15/2026</w:t>
            </w:r>
          </w:p>
        </w:tc>
        <w:tc>
          <w:tcPr>
            <w:tcW w:w="20" w:type="dxa"/>
            <w:vAlign w:val="bottom"/>
          </w:tcPr>
          <w:p>
            <w:pPr>
              <w:spacing w:after="0"/>
              <w:rPr>
                <w:sz w:val="17"/>
                <w:szCs w:val="17"/>
                <w:color w:val="auto"/>
              </w:rPr>
            </w:pPr>
          </w:p>
        </w:tc>
      </w:tr>
      <w:tr>
        <w:trPr>
          <w:trHeight w:val="203"/>
        </w:trPr>
        <w:tc>
          <w:tcPr>
            <w:tcW w:w="4040" w:type="dxa"/>
            <w:vAlign w:val="bottom"/>
          </w:tcPr>
          <w:p>
            <w:pPr>
              <w:spacing w:after="0"/>
              <w:rPr>
                <w:sz w:val="20"/>
                <w:szCs w:val="20"/>
                <w:color w:val="auto"/>
              </w:rPr>
            </w:pPr>
            <w:r>
              <w:rPr>
                <w:rFonts w:ascii="Times New Roman" w:cs="Times New Roman" w:eastAsia="Times New Roman" w:hAnsi="Times New Roman"/>
                <w:sz w:val="16"/>
                <w:szCs w:val="16"/>
                <w:color w:val="auto"/>
              </w:rPr>
              <w:t>BNP Paribas Securities Corp.</w:t>
            </w:r>
          </w:p>
        </w:tc>
        <w:tc>
          <w:tcPr>
            <w:tcW w:w="680" w:type="dxa"/>
            <w:vAlign w:val="bottom"/>
          </w:tcPr>
          <w:p>
            <w:pPr>
              <w:spacing w:after="0"/>
              <w:rPr>
                <w:sz w:val="17"/>
                <w:szCs w:val="17"/>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36,970</w:t>
            </w:r>
          </w:p>
        </w:tc>
        <w:tc>
          <w:tcPr>
            <w:tcW w:w="660" w:type="dxa"/>
            <w:vAlign w:val="bottom"/>
          </w:tcPr>
          <w:p>
            <w:pPr>
              <w:spacing w:after="0"/>
              <w:rPr>
                <w:sz w:val="17"/>
                <w:szCs w:val="17"/>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6/12/2026</w:t>
            </w:r>
          </w:p>
        </w:tc>
        <w:tc>
          <w:tcPr>
            <w:tcW w:w="20" w:type="dxa"/>
            <w:vAlign w:val="bottom"/>
          </w:tcPr>
          <w:p>
            <w:pPr>
              <w:spacing w:after="0"/>
              <w:rPr>
                <w:sz w:val="17"/>
                <w:szCs w:val="17"/>
                <w:color w:val="auto"/>
              </w:rPr>
            </w:pPr>
          </w:p>
        </w:tc>
      </w:tr>
      <w:tr>
        <w:trPr>
          <w:trHeight w:val="20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Lucid Prime Fund, LLC</w:t>
            </w:r>
          </w:p>
        </w:tc>
        <w:tc>
          <w:tcPr>
            <w:tcW w:w="6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30,867</w:t>
            </w:r>
          </w:p>
        </w:tc>
        <w:tc>
          <w:tcPr>
            <w:tcW w:w="6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3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6/11/2026</w:t>
            </w:r>
          </w:p>
        </w:tc>
        <w:tc>
          <w:tcPr>
            <w:tcW w:w="20" w:type="dxa"/>
            <w:vAlign w:val="bottom"/>
          </w:tcPr>
          <w:p>
            <w:pPr>
              <w:spacing w:after="0"/>
              <w:rPr>
                <w:sz w:val="17"/>
                <w:szCs w:val="17"/>
                <w:color w:val="auto"/>
              </w:rPr>
            </w:pPr>
          </w:p>
        </w:tc>
      </w:tr>
      <w:tr>
        <w:trPr>
          <w:trHeight w:val="20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Canyon Partners, LLC</w:t>
            </w:r>
          </w:p>
        </w:tc>
        <w:tc>
          <w:tcPr>
            <w:tcW w:w="6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14,394</w:t>
            </w:r>
          </w:p>
        </w:tc>
        <w:tc>
          <w:tcPr>
            <w:tcW w:w="6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6/17/2026</w:t>
            </w:r>
          </w:p>
        </w:tc>
        <w:tc>
          <w:tcPr>
            <w:tcW w:w="20" w:type="dxa"/>
            <w:vAlign w:val="bottom"/>
          </w:tcPr>
          <w:p>
            <w:pPr>
              <w:spacing w:after="0"/>
              <w:rPr>
                <w:sz w:val="17"/>
                <w:szCs w:val="17"/>
                <w:color w:val="auto"/>
              </w:rPr>
            </w:pPr>
          </w:p>
        </w:tc>
      </w:tr>
      <w:tr>
        <w:trPr>
          <w:trHeight w:val="236"/>
        </w:trPr>
        <w:tc>
          <w:tcPr>
            <w:tcW w:w="40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Borrowings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10,707,338</w:t>
            </w:r>
          </w:p>
        </w:tc>
        <w:tc>
          <w:tcPr>
            <w:tcW w:w="66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100.0%</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3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11/13/2026</w:t>
            </w:r>
          </w:p>
        </w:tc>
        <w:tc>
          <w:tcPr>
            <w:tcW w:w="2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Orchid Island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Cauley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3305 Flamingo Drive, Vero Beach, Florida 32963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(772) 231-1400</w:t>
      </w:r>
    </w:p>
    <w:sectPr>
      <w:pgSz w:w="11900" w:h="16838" w:orient="portrait"/>
      <w:cols w:equalWidth="0" w:num="1">
        <w:col w:w="11240"/>
      </w:cols>
      <w:pgMar w:left="320" w:top="36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2026-06-10T08:22:53Z</dcterms:created>
  <dcterms:modified xsi:type="dcterms:W3CDTF">2026-06-10T08:22:53Z</dcterms:modified>
</cp:coreProperties>
</file>