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-609600</wp:posOffset>
            </wp:positionV>
            <wp:extent cx="57150" cy="622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641350</wp:posOffset>
            </wp:positionV>
            <wp:extent cx="6997065" cy="440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407535"/>
                    </a:xfrm>
                    <a:prstGeom prst="rect">
                      <a:avLst/>
                    </a:prstGeom>
                    <a:noFill/>
                  </pic:spPr>
                </pic:pic>
              </a:graphicData>
            </a:graphic>
          </wp:anchor>
        </w:drawing>
      </w:r>
    </w:p>
    <w:p>
      <w:pPr>
        <w:spacing w:after="0" w:line="1085" w:lineRule="exact"/>
        <w:rPr>
          <w:sz w:val="24"/>
          <w:szCs w:val="24"/>
          <w:color w:val="auto"/>
        </w:rPr>
      </w:pPr>
    </w:p>
    <w:p>
      <w:pPr>
        <w:sectPr>
          <w:pgSz w:w="11900" w:h="16838" w:orient="portrait"/>
          <w:cols w:equalWidth="0" w:num="2">
            <w:col w:w="2320" w:space="340"/>
            <w:col w:w="842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Haas G Hunter IV</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3305 FLAMINGO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Orchid Island Capital,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ORC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06/26/2026</w:t>
      </w:r>
    </w:p>
    <w:p>
      <w:pPr>
        <w:spacing w:after="0" w:line="20" w:lineRule="exact"/>
        <w:rPr>
          <w:sz w:val="24"/>
          <w:szCs w:val="24"/>
          <w:color w:val="auto"/>
        </w:rPr>
      </w:pPr>
      <w:r>
        <w:rPr>
          <w:sz w:val="24"/>
          <w:szCs w:val="24"/>
          <w:color w:val="auto"/>
        </w:rPr>
        <w:br w:type="column"/>
      </w:r>
    </w:p>
    <w:p>
      <w:pPr>
        <w:ind w:left="-10" w:right="700" w:firstLine="10"/>
        <w:spacing w:after="0" w:line="247"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830"/>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275" w:lineRule="exact"/>
        <w:rPr>
          <w:sz w:val="24"/>
          <w:szCs w:val="24"/>
          <w:color w:val="auto"/>
        </w:rPr>
      </w:pPr>
    </w:p>
    <w:p>
      <w:pPr>
        <w:sectPr>
          <w:pgSz w:w="11900" w:h="16838" w:orient="portrait"/>
          <w:cols w:equalWidth="0" w:num="3">
            <w:col w:w="3180" w:space="720"/>
            <w:col w:w="3110" w:space="720"/>
            <w:col w:w="3350"/>
          </w:cols>
          <w:pgMar w:left="460" w:top="215" w:right="359" w:bottom="144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shd w:val="clear" w:color="auto" w:fill="9A9A9A"/>
          </w:tcPr>
          <w:p>
            <w:pPr>
              <w:spacing w:after="0"/>
              <w:rPr>
                <w:sz w:val="3"/>
                <w:szCs w:val="3"/>
                <w:color w:val="auto"/>
              </w:rPr>
            </w:pPr>
          </w:p>
        </w:tc>
        <w:tc>
          <w:tcPr>
            <w:tcW w:w="780" w:type="dxa"/>
            <w:vAlign w:val="bottom"/>
            <w:shd w:val="clear" w:color="auto" w:fill="9A9A9A"/>
          </w:tcPr>
          <w:p>
            <w:pPr>
              <w:spacing w:after="0"/>
              <w:rPr>
                <w:sz w:val="3"/>
                <w:szCs w:val="3"/>
                <w:color w:val="auto"/>
              </w:rPr>
            </w:pPr>
          </w:p>
        </w:tc>
        <w:tc>
          <w:tcPr>
            <w:tcW w:w="980" w:type="dxa"/>
            <w:vAlign w:val="bottom"/>
            <w:shd w:val="clear" w:color="auto" w:fill="9A9A9A"/>
          </w:tcPr>
          <w:p>
            <w:pPr>
              <w:spacing w:after="0"/>
              <w:rPr>
                <w:sz w:val="3"/>
                <w:szCs w:val="3"/>
                <w:color w:val="auto"/>
              </w:rPr>
            </w:pPr>
          </w:p>
        </w:tc>
        <w:tc>
          <w:tcPr>
            <w:tcW w:w="1120" w:type="dxa"/>
            <w:vAlign w:val="bottom"/>
            <w:shd w:val="clear" w:color="auto" w:fill="9A9A9A"/>
          </w:tcPr>
          <w:p>
            <w:pPr>
              <w:spacing w:after="0"/>
              <w:rPr>
                <w:sz w:val="3"/>
                <w:szCs w:val="3"/>
                <w:color w:val="auto"/>
              </w:rPr>
            </w:pPr>
          </w:p>
        </w:tc>
        <w:tc>
          <w:tcPr>
            <w:tcW w:w="100" w:type="dxa"/>
            <w:vAlign w:val="bottom"/>
            <w:shd w:val="clear" w:color="auto" w:fill="9A9A9A"/>
          </w:tcPr>
          <w:p>
            <w:pPr>
              <w:spacing w:after="0"/>
              <w:rPr>
                <w:sz w:val="3"/>
                <w:szCs w:val="3"/>
                <w:color w:val="auto"/>
              </w:rPr>
            </w:pPr>
          </w:p>
        </w:tc>
        <w:tc>
          <w:tcPr>
            <w:tcW w:w="3620" w:type="dxa"/>
            <w:vAlign w:val="bottom"/>
            <w:gridSpan w:val="6"/>
            <w:vMerge w:val="restart"/>
          </w:tcPr>
          <w:p>
            <w:pPr>
              <w:jc w:val="right"/>
              <w:ind w:right="238"/>
              <w:spacing w:after="0"/>
              <w:rPr>
                <w:sz w:val="20"/>
                <w:szCs w:val="20"/>
                <w:color w:val="auto"/>
              </w:rPr>
            </w:pPr>
            <w:r>
              <w:rPr>
                <w:rFonts w:ascii="Arial" w:cs="Arial" w:eastAsia="Arial" w:hAnsi="Arial"/>
                <w:sz w:val="13"/>
                <w:szCs w:val="13"/>
                <w:color w:val="auto"/>
                <w:w w:val="99"/>
              </w:rPr>
              <w:t>4. If Amendment, Date of Original Filed (Month/Day/Year)</w:t>
            </w:r>
          </w:p>
        </w:tc>
        <w:tc>
          <w:tcPr>
            <w:tcW w:w="3700" w:type="dxa"/>
            <w:vAlign w:val="bottom"/>
            <w:gridSpan w:val="9"/>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20" w:type="dxa"/>
            <w:vAlign w:val="bottom"/>
            <w:gridSpan w:val="6"/>
            <w:vMerge w:val="continue"/>
          </w:tcPr>
          <w:p>
            <w:pPr>
              <w:spacing w:after="0"/>
              <w:rPr>
                <w:sz w:val="9"/>
                <w:szCs w:val="9"/>
                <w:color w:val="auto"/>
              </w:rPr>
            </w:pPr>
          </w:p>
        </w:tc>
        <w:tc>
          <w:tcPr>
            <w:tcW w:w="37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VERO BEACH  FL</w:t>
            </w:r>
          </w:p>
        </w:tc>
        <w:tc>
          <w:tcPr>
            <w:tcW w:w="980" w:type="dxa"/>
            <w:vAlign w:val="bottom"/>
          </w:tcPr>
          <w:p>
            <w:pPr>
              <w:spacing w:after="0"/>
              <w:rPr>
                <w:sz w:val="18"/>
                <w:szCs w:val="18"/>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32963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760" w:type="dxa"/>
            <w:vAlign w:val="bottom"/>
            <w:tcBorders>
              <w:top w:val="single" w:sz="8" w:color="EEEEEE"/>
            </w:tcBorders>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1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2"/>
          </w:tcPr>
          <w:p>
            <w:pPr>
              <w:ind w:left="8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2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820"/>
              <w:spacing w:after="0" w:line="126"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4"/>
          </w:tcPr>
          <w:p>
            <w:pPr>
              <w:ind w:left="10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40" w:type="dxa"/>
            <w:vAlign w:val="bottom"/>
            <w:gridSpan w:val="3"/>
          </w:tcPr>
          <w:p>
            <w:pPr>
              <w:ind w:left="820"/>
              <w:spacing w:after="0" w:line="126"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ind w:left="40"/>
              <w:spacing w:after="0" w:line="126" w:lineRule="exact"/>
              <w:rPr>
                <w:sz w:val="20"/>
                <w:szCs w:val="20"/>
                <w:color w:val="auto"/>
              </w:rPr>
            </w:pPr>
            <w:r>
              <w:rPr>
                <w:rFonts w:ascii="Arial" w:cs="Arial" w:eastAsia="Arial" w:hAnsi="Arial"/>
                <w:sz w:val="11"/>
                <w:szCs w:val="11"/>
                <w:b w:val="1"/>
                <w:bCs w:val="1"/>
                <w:color w:val="auto"/>
                <w:w w:val="99"/>
              </w:rPr>
              <w:t>(Month/Day/Year)</w:t>
            </w:r>
          </w:p>
        </w:tc>
        <w:tc>
          <w:tcPr>
            <w:tcW w:w="780" w:type="dxa"/>
            <w:vAlign w:val="bottom"/>
            <w:gridSpan w:val="2"/>
          </w:tcPr>
          <w:p>
            <w:pPr>
              <w:ind w:left="140"/>
              <w:spacing w:after="0" w:line="126"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6"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jc w:val="right"/>
              <w:ind w:right="118"/>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06/26/2026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3,031</w:t>
            </w:r>
            <w:r>
              <w:rPr>
                <w:rFonts w:ascii="Times New Roman" w:cs="Times New Roman" w:eastAsia="Times New Roman" w:hAnsi="Times New Roman"/>
                <w:sz w:val="20"/>
                <w:szCs w:val="20"/>
                <w:color w:val="008000"/>
                <w:vertAlign w:val="superscript"/>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center"/>
              <w:ind w:right="9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6"/>
                <w:szCs w:val="16"/>
                <w:color w:val="0000FF"/>
              </w:rPr>
              <w:t>138,715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06/26/2026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1,193</w:t>
            </w:r>
            <w:r>
              <w:rPr>
                <w:rFonts w:ascii="Times New Roman" w:cs="Times New Roman" w:eastAsia="Times New Roman" w:hAnsi="Times New Roman"/>
                <w:sz w:val="20"/>
                <w:szCs w:val="20"/>
                <w:color w:val="008000"/>
                <w:vertAlign w:val="superscript"/>
              </w:rPr>
              <w:t>(2)</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6.86</w:t>
            </w:r>
            <w:r>
              <w:rPr>
                <w:rFonts w:ascii="Times New Roman" w:cs="Times New Roman" w:eastAsia="Times New Roman" w:hAnsi="Times New Roman"/>
                <w:sz w:val="20"/>
                <w:szCs w:val="20"/>
                <w:color w:val="008000"/>
                <w:vertAlign w:val="superscript"/>
              </w:rPr>
              <w:t>(3)</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6"/>
                <w:szCs w:val="16"/>
                <w:color w:val="0000FF"/>
              </w:rPr>
              <w:t>137,522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80" w:type="dxa"/>
            <w:vAlign w:val="bottom"/>
            <w:gridSpan w:val="10"/>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line="126"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6"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line="126"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Underlying Derivative</w:t>
            </w:r>
          </w:p>
        </w:tc>
        <w:tc>
          <w:tcPr>
            <w:tcW w:w="640" w:type="dxa"/>
            <w:vAlign w:val="bottom"/>
          </w:tcPr>
          <w:p>
            <w:pPr>
              <w:spacing w:after="0" w:line="126"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112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96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Security (Instr. 3 and</w:t>
            </w:r>
          </w:p>
        </w:tc>
        <w:tc>
          <w:tcPr>
            <w:tcW w:w="640" w:type="dxa"/>
            <w:vAlign w:val="bottom"/>
          </w:tcPr>
          <w:p>
            <w:pPr>
              <w:spacing w:after="0" w:line="126"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line="126" w:lineRule="exact"/>
              <w:rPr>
                <w:sz w:val="20"/>
                <w:szCs w:val="20"/>
                <w:color w:val="auto"/>
              </w:rPr>
            </w:pPr>
            <w:r>
              <w:rPr>
                <w:rFonts w:ascii="Arial" w:cs="Arial" w:eastAsia="Arial" w:hAnsi="Arial"/>
                <w:sz w:val="11"/>
                <w:szCs w:val="11"/>
                <w:b w:val="1"/>
                <w:bCs w:val="1"/>
                <w:color w:val="auto"/>
              </w:rPr>
              <w:t>4)</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6"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line="126"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98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06/26/2026</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3,031.72</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jc w:val="right"/>
              <w:ind w:right="298"/>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3,031.72</w:t>
            </w:r>
          </w:p>
        </w:tc>
        <w:tc>
          <w:tcPr>
            <w:tcW w:w="6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97,939.95</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jc w:val="right"/>
              <w:ind w:right="118"/>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-1550035</wp:posOffset>
            </wp:positionV>
            <wp:extent cx="28575" cy="1555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5551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00" w:hanging="2"/>
        <w:spacing w:after="0" w:line="231"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1,842 shares of the Company's common stock issued upon the vesting of Performance Units awarded to the Reporting Person on April 13, 2023 pursuant to the Issuer's 2021 Equity Incentive Plan and 2022 Long Term Equity Incentive Compensation Plan, and 1,189 shares of the Company's common stock issued upon the vesting of Performance Units awarded to the Reporting Person on March 19, 2024 pursuant to the Issuer's 2021 Equity Incentive Plan and 2023 Long Term Equity Incentive Compensation Plan. Cash was paid in lieu of issuing fractional shares based on the closing price of the Company's common stock on June 25, 2026.</w:t>
      </w:r>
    </w:p>
    <w:p>
      <w:pPr>
        <w:spacing w:after="0" w:line="26"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disposed of these shares of the Company's common stock to the Issuer to satisfy the Reporting Person's tax withholding obligations in connection with the vesting of shares.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represents the closing price of the Company's common stock on June 25, 2026.</w:t>
      </w:r>
    </w:p>
    <w:p>
      <w:pPr>
        <w:spacing w:after="0" w:line="5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G. Hunter Haas, IV</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06/29/2026</w:t>
            </w:r>
          </w:p>
        </w:tc>
      </w:tr>
      <w:tr>
        <w:trPr>
          <w:trHeight w:val="20"/>
        </w:trPr>
        <w:tc>
          <w:tcPr>
            <w:tcW w:w="1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2283" TargetMode="External"/><Relationship Id="rId14" Type="http://schemas.openxmlformats.org/officeDocument/2006/relationships/hyperlink" Target="http://www.sec.gov/cgi-bin/browse-edgar?action=getcompany&amp;CIK=0001518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2026-06-29T15:27:07Z</dcterms:created>
  <dcterms:modified xsi:type="dcterms:W3CDTF">2026-06-29T15:27:07Z</dcterms:modified>
</cp:coreProperties>
</file>